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/>
      </w:pPr>
      <w:r>
        <w:rPr/>
        <w:t>　使用料</w:t>
      </w:r>
    </w:p>
    <w:p>
      <w:pPr>
        <w:pStyle w:val="Normal"/>
        <w:spacing w:lineRule="exact" w:line="240"/>
        <w:rPr>
          <w:rFonts w:cs="Times New Roman"/>
          <w:spacing w:val="8"/>
        </w:rPr>
      </w:pPr>
      <w:bookmarkStart w:id="0" w:name="_GoBack"/>
      <w:bookmarkStart w:id="1" w:name="_GoBack"/>
      <w:bookmarkEnd w:id="1"/>
      <w:r>
        <w:rPr>
          <w:rFonts w:cs="Times New Roman"/>
          <w:spacing w:val="8"/>
        </w:rPr>
      </w:r>
    </w:p>
    <w:p>
      <w:pPr>
        <w:pStyle w:val="Normal"/>
        <w:rPr/>
      </w:pPr>
      <w:r>
        <w:rPr/>
        <w:t>　  小原山体育館</w:t>
      </w:r>
    </w:p>
    <w:tbl>
      <w:tblPr>
        <w:tblW w:w="9882" w:type="dxa"/>
        <w:jc w:val="left"/>
        <w:tblInd w:w="52" w:type="dxa"/>
        <w:tblBorders>
          <w:bottom w:val="single" w:sz="4" w:space="0" w:color="00000A"/>
          <w:right w:val="single" w:sz="12" w:space="0" w:color="000001"/>
          <w:insideH w:val="single" w:sz="4" w:space="0" w:color="00000A"/>
          <w:insideV w:val="single" w:sz="12" w:space="0" w:color="000001"/>
        </w:tblBorders>
        <w:tblCellMar>
          <w:top w:w="0" w:type="dxa"/>
          <w:left w:w="57" w:type="dxa"/>
          <w:bottom w:w="0" w:type="dxa"/>
          <w:right w:w="52" w:type="dxa"/>
        </w:tblCellMar>
      </w:tblPr>
      <w:tblGrid>
        <w:gridCol w:w="1058"/>
        <w:gridCol w:w="471"/>
        <w:gridCol w:w="1529"/>
        <w:gridCol w:w="1177"/>
        <w:gridCol w:w="1176"/>
        <w:gridCol w:w="1177"/>
        <w:gridCol w:w="3294"/>
      </w:tblGrid>
      <w:tr>
        <w:trPr/>
        <w:tc>
          <w:tcPr>
            <w:tcW w:w="1058" w:type="dxa"/>
            <w:vMerge w:val="restart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　</w:t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</w:tc>
        <w:tc>
          <w:tcPr>
            <w:tcW w:w="2000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 xml:space="preserve">       </w:t>
            </w:r>
            <w:r>
              <w:rPr/>
              <w:t>利用時間</w:t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利用区分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8</w:t>
            </w:r>
            <w:r>
              <w:rPr/>
              <w:t>時</w:t>
            </w:r>
            <w:r>
              <w:rPr/>
              <w:t>30</w:t>
            </w:r>
            <w:r>
              <w:rPr/>
              <w:t>分　から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12</w:t>
            </w:r>
            <w:r>
              <w:rPr/>
              <w:t>時まで</w:t>
            </w:r>
          </w:p>
        </w:tc>
        <w:tc>
          <w:tcPr>
            <w:tcW w:w="117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12</w:t>
            </w:r>
            <w:r>
              <w:rPr/>
              <w:t>時から</w:t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17</w:t>
            </w:r>
            <w:r>
              <w:rPr/>
              <w:t>時まで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17</w:t>
            </w:r>
            <w:r>
              <w:rPr/>
              <w:t>時から</w:t>
            </w:r>
          </w:p>
          <w:p>
            <w:pPr>
              <w:pStyle w:val="Normal"/>
              <w:overflowPunct w:val="true"/>
              <w:spacing w:lineRule="atLeas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22</w:t>
            </w:r>
            <w:r>
              <w:rPr/>
              <w:t>時まで</w:t>
            </w:r>
          </w:p>
        </w:tc>
        <w:tc>
          <w:tcPr>
            <w:tcW w:w="3294" w:type="dxa"/>
            <w:tcBorders>
              <w:top w:val="single" w:sz="12" w:space="0" w:color="000001"/>
              <w:left w:val="single" w:sz="12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 xml:space="preserve">  </w:t>
            </w:r>
            <w:r>
              <w:rPr/>
              <w:t>　　摘　　　要</w:t>
            </w:r>
          </w:p>
        </w:tc>
      </w:tr>
      <w:tr>
        <w:trPr>
          <w:trHeight w:val="976" w:hRule="atLeast"/>
        </w:trPr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専</w:t>
            </w:r>
          </w:p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用利用</w:t>
            </w:r>
          </w:p>
        </w:tc>
        <w:tc>
          <w:tcPr>
            <w:tcW w:w="152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both"/>
              <w:rPr/>
            </w:pPr>
            <w:r>
              <w:rPr/>
              <w:t>児童・生徒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 xml:space="preserve">   </w:t>
            </w:r>
            <w:r>
              <w:rPr/>
              <w:t>330</w:t>
            </w:r>
            <w:r>
              <w:rPr/>
              <w:t>円</w:t>
            </w:r>
          </w:p>
        </w:tc>
        <w:tc>
          <w:tcPr>
            <w:tcW w:w="117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 xml:space="preserve">   </w:t>
            </w:r>
            <w:r>
              <w:rPr/>
              <w:t>550</w:t>
            </w:r>
            <w:r>
              <w:rPr/>
              <w:t>円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 xml:space="preserve"> </w:t>
            </w:r>
            <w:r>
              <w:rPr/>
              <w:t>　</w:t>
            </w:r>
            <w:r>
              <w:rPr/>
              <w:t>880</w:t>
            </w:r>
            <w:r>
              <w:rPr/>
              <w:t>円</w:t>
            </w:r>
          </w:p>
        </w:tc>
        <w:tc>
          <w:tcPr>
            <w:tcW w:w="329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専用利用において、</w:t>
            </w:r>
            <w:r>
              <w:rPr/>
              <w:t>8</w:t>
            </w:r>
            <w:r>
              <w:rPr/>
              <w:t>時</w:t>
            </w:r>
            <w:r>
              <w:rPr/>
              <w:t>30</w:t>
            </w:r>
            <w:r>
              <w:rPr/>
              <w:t>分から</w:t>
            </w:r>
            <w:r>
              <w:rPr/>
              <w:t>17</w:t>
            </w:r>
            <w:r>
              <w:rPr/>
              <w:t>時まで、</w:t>
            </w:r>
            <w:r>
              <w:rPr/>
              <w:t>12</w:t>
            </w:r>
            <w:r>
              <w:rPr/>
              <w:t>時から</w:t>
            </w:r>
            <w:r>
              <w:rPr/>
              <w:t>22</w:t>
            </w:r>
            <w:r>
              <w:rPr/>
              <w:t>時まで及び</w:t>
            </w:r>
            <w:r>
              <w:rPr/>
              <w:t>8</w:t>
            </w:r>
            <w:r>
              <w:rPr/>
              <w:t>時</w:t>
            </w:r>
            <w:r>
              <w:rPr/>
              <w:t>30</w:t>
            </w:r>
            <w:r>
              <w:rPr/>
              <w:t>分から</w:t>
            </w:r>
            <w:r>
              <w:rPr/>
              <w:t>22</w:t>
            </w:r>
            <w:r>
              <w:rPr/>
              <w:t>時までの時間区分の使用料は、それぞれの時間区分に属する使用料欄の金額を合算した額とする。</w:t>
            </w:r>
          </w:p>
        </w:tc>
      </w:tr>
      <w:tr>
        <w:trPr>
          <w:trHeight w:val="962" w:hRule="atLeast"/>
        </w:trPr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both"/>
              <w:rPr/>
            </w:pPr>
            <w:r>
              <w:rPr/>
              <w:t>上記以外の者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 xml:space="preserve">   </w:t>
            </w:r>
            <w:r>
              <w:rPr/>
              <w:t>660</w:t>
            </w:r>
            <w:r>
              <w:rPr/>
              <w:t>円</w:t>
            </w:r>
          </w:p>
        </w:tc>
        <w:tc>
          <w:tcPr>
            <w:tcW w:w="1176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 xml:space="preserve"> </w:t>
            </w:r>
            <w:r>
              <w:rPr/>
              <w:t>1,100</w:t>
            </w:r>
            <w:r>
              <w:rPr/>
              <w:t>円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 xml:space="preserve"> </w:t>
            </w:r>
            <w:r>
              <w:rPr/>
              <w:t>2,200</w:t>
            </w:r>
            <w:r>
              <w:rPr/>
              <w:t>円</w:t>
            </w:r>
          </w:p>
        </w:tc>
        <w:tc>
          <w:tcPr>
            <w:tcW w:w="329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7" w:type="dxa"/>
            <w:gridSpan w:val="3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利　用　区　分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使　用　料</w:t>
            </w:r>
          </w:p>
        </w:tc>
        <w:tc>
          <w:tcPr>
            <w:tcW w:w="329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一</w:t>
            </w:r>
          </w:p>
          <w:p>
            <w:pPr>
              <w:pStyle w:val="Normal"/>
              <w:overflowPunct w:val="true"/>
              <w:spacing w:lineRule="atLeast" w:line="342"/>
              <w:jc w:val="center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部</w:t>
            </w:r>
          </w:p>
          <w:p>
            <w:pPr>
              <w:pStyle w:val="Normal"/>
              <w:overflowPunct w:val="true"/>
              <w:spacing w:lineRule="atLeast" w:line="342"/>
              <w:jc w:val="center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利</w:t>
            </w:r>
          </w:p>
          <w:p>
            <w:pPr>
              <w:pStyle w:val="Normal"/>
              <w:overflowPunct w:val="true"/>
              <w:spacing w:lineRule="atLeast" w:line="342"/>
              <w:jc w:val="center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atLeast" w:line="342"/>
              <w:jc w:val="center"/>
              <w:rPr/>
            </w:pPr>
            <w:r>
              <w:rPr/>
              <w:t>用</w:t>
            </w:r>
          </w:p>
        </w:tc>
        <w:tc>
          <w:tcPr>
            <w:tcW w:w="15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both"/>
              <w:rPr/>
            </w:pPr>
            <w:r>
              <w:rPr/>
              <w:t>卓球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児童生徒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30</w:t>
            </w:r>
            <w:r>
              <w:rPr/>
              <w:t>円</w:t>
            </w:r>
          </w:p>
        </w:tc>
        <w:tc>
          <w:tcPr>
            <w:tcW w:w="3294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・１台１時間につき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・最大６台</w:t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spacing w:val="-4"/>
                <w:w w:val="50"/>
              </w:rPr>
              <w:t>上記以外の者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ind w:left="0" w:right="0" w:firstLine="234"/>
              <w:jc w:val="right"/>
              <w:rPr/>
            </w:pPr>
            <w:r>
              <w:rPr/>
              <w:t>60</w:t>
            </w:r>
            <w:r>
              <w:rPr/>
              <w:t>円</w:t>
            </w:r>
          </w:p>
        </w:tc>
        <w:tc>
          <w:tcPr>
            <w:tcW w:w="329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both"/>
              <w:rPr/>
            </w:pPr>
            <w:r>
              <w:rPr/>
              <w:t>バドミントン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児童生徒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50</w:t>
            </w:r>
            <w:r>
              <w:rPr/>
              <w:t>円</w:t>
            </w:r>
          </w:p>
        </w:tc>
        <w:tc>
          <w:tcPr>
            <w:tcW w:w="3294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・１面１時間につき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・最大３コート</w:t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spacing w:val="-4"/>
                <w:w w:val="50"/>
              </w:rPr>
              <w:t>上記以外の者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110</w:t>
            </w:r>
            <w:r>
              <w:rPr/>
              <w:t>円</w:t>
            </w:r>
          </w:p>
        </w:tc>
        <w:tc>
          <w:tcPr>
            <w:tcW w:w="329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both"/>
              <w:rPr/>
            </w:pPr>
            <w:r>
              <w:rPr/>
              <w:t>バレーボール （女子）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児童生徒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70</w:t>
            </w:r>
            <w:r>
              <w:rPr/>
              <w:t>円</w:t>
            </w:r>
          </w:p>
        </w:tc>
        <w:tc>
          <w:tcPr>
            <w:tcW w:w="3294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・１面１時間につき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・最大２コート</w:t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spacing w:val="-4"/>
                <w:w w:val="50"/>
              </w:rPr>
              <w:t>上記以外の者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160</w:t>
            </w:r>
            <w:r>
              <w:rPr/>
              <w:t>円</w:t>
            </w:r>
          </w:p>
        </w:tc>
        <w:tc>
          <w:tcPr>
            <w:tcW w:w="329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both"/>
              <w:rPr/>
            </w:pPr>
            <w:r>
              <w:rPr/>
              <w:t>バスケットボール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児童生徒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160</w:t>
            </w:r>
            <w:r>
              <w:rPr/>
              <w:t>円</w:t>
            </w:r>
          </w:p>
        </w:tc>
        <w:tc>
          <w:tcPr>
            <w:tcW w:w="3294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・１面１時間につき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・最大１コート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・男子バレーも同様</w:t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spacing w:val="-4"/>
                <w:w w:val="50"/>
              </w:rPr>
              <w:t>上記以外の者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330</w:t>
            </w:r>
            <w:r>
              <w:rPr/>
              <w:t>円</w:t>
            </w:r>
          </w:p>
        </w:tc>
        <w:tc>
          <w:tcPr>
            <w:tcW w:w="329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both"/>
              <w:rPr/>
            </w:pPr>
            <w:r>
              <w:rPr/>
              <w:t>個人利用</w:t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児童生徒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30</w:t>
            </w:r>
            <w:r>
              <w:rPr/>
              <w:t>円</w:t>
            </w:r>
          </w:p>
        </w:tc>
        <w:tc>
          <w:tcPr>
            <w:tcW w:w="329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・一人１時間につき</w:t>
            </w:r>
          </w:p>
        </w:tc>
      </w:tr>
      <w:tr>
        <w:trPr>
          <w:trHeight w:val="368" w:hRule="atLeast"/>
        </w:trPr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spacing w:val="-4"/>
                <w:w w:val="50"/>
              </w:rPr>
              <w:t>上記以外の者</w:t>
            </w:r>
          </w:p>
        </w:tc>
        <w:tc>
          <w:tcPr>
            <w:tcW w:w="2353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overflowPunct w:val="true"/>
              <w:spacing w:lineRule="atLeast" w:line="342"/>
              <w:jc w:val="right"/>
              <w:rPr/>
            </w:pPr>
            <w:r>
              <w:rPr/>
              <w:t>60</w:t>
            </w:r>
            <w:r>
              <w:rPr/>
              <w:t>円</w:t>
            </w:r>
          </w:p>
        </w:tc>
        <w:tc>
          <w:tcPr>
            <w:tcW w:w="329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8" w:space="0" w:color="000001"/>
              <w:insideH w:val="single" w:sz="4" w:space="0" w:color="00000A"/>
              <w:insideV w:val="single" w:sz="18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20" w:hRule="atLeast"/>
        </w:trPr>
        <w:tc>
          <w:tcPr>
            <w:tcW w:w="1058" w:type="dxa"/>
            <w:vMerge w:val="continue"/>
            <w:tcBorders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4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※</w:t>
            </w:r>
            <w:r>
              <w:rPr/>
              <w:t>　体育以外に利用する場合の使用料は、この表の定めによるところにより算出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 xml:space="preserve">  </w:t>
            </w:r>
            <w:r>
              <w:rPr/>
              <w:t>した額に</w:t>
            </w:r>
            <w:r>
              <w:rPr/>
              <w:t>100</w:t>
            </w:r>
            <w:r>
              <w:rPr/>
              <w:t>分の</w:t>
            </w:r>
            <w:r>
              <w:rPr/>
              <w:t>200</w:t>
            </w:r>
            <w:r>
              <w:rPr/>
              <w:t>を乗じて得た額とする。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>※</w:t>
            </w:r>
            <w:r>
              <w:rPr/>
              <w:t>　照明を必要とする場合の使用料は、上記の使用料に下の照明料金を追加する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 xml:space="preserve">  </w:t>
            </w:r>
            <w:r>
              <w:rPr/>
              <w:t>１コート１時間当たり９０円、２コート以上１時間当たり１６０円。但し、全</w:t>
            </w:r>
          </w:p>
          <w:p>
            <w:pPr>
              <w:pStyle w:val="Normal"/>
              <w:overflowPunct w:val="true"/>
              <w:spacing w:lineRule="atLeast" w:line="342"/>
              <w:rPr/>
            </w:pPr>
            <w:r>
              <w:rPr/>
              <w:t xml:space="preserve">  </w:t>
            </w:r>
            <w:r>
              <w:rPr/>
              <w:t>面使用になる場合（バスケットボール、男子バレー）は、１６０円。</w:t>
            </w:r>
          </w:p>
        </w:tc>
      </w:tr>
    </w:tbl>
    <w:p>
      <w:pPr>
        <w:pStyle w:val="Normal"/>
        <w:ind w:left="224" w:right="0" w:hanging="224"/>
        <w:rPr>
          <w:rFonts w:ascii="ＭＳ 明朝" w:hAnsi="ＭＳ 明朝" w:eastAsia="ＭＳ 明朝" w:cs="Meiryo UI"/>
          <w:sz w:val="21"/>
          <w:szCs w:val="15"/>
        </w:rPr>
      </w:pPr>
      <w:r>
        <w:rPr>
          <w:rFonts w:eastAsia="ＭＳ 明朝" w:cs="Meiryo UI"/>
          <w:sz w:val="21"/>
          <w:szCs w:val="15"/>
        </w:rPr>
        <w:t xml:space="preserve">※  </w:t>
      </w:r>
      <w:r>
        <w:rPr>
          <w:rFonts w:ascii="ＭＳ 明朝" w:hAnsi="ＭＳ 明朝" w:cs="Meiryo UI"/>
          <w:sz w:val="21"/>
          <w:szCs w:val="15"/>
        </w:rPr>
        <w:t>一覧表の料金は、あくまで単価の料金です。実際の使用料の計算に当たっては、利用方法等に応じて税抜き金額を算定した後、当該額に消費税及び地方消費税に相当する額を加算します。</w:t>
      </w:r>
    </w:p>
    <w:p>
      <w:pPr>
        <w:pStyle w:val="Normal"/>
        <w:rPr>
          <w:rFonts w:cs="Times New Roman"/>
          <w:spacing w:val="8"/>
        </w:rPr>
      </w:pPr>
      <w:r>
        <w:rPr>
          <w:rFonts w:cs="Times New Roman"/>
          <w:spacing w:val="8"/>
        </w:rPr>
      </w:r>
    </w:p>
    <w:p>
      <w:pPr>
        <w:pStyle w:val="Normal"/>
        <w:rPr/>
      </w:pPr>
      <w:r>
        <w:rPr/>
        <w:t>備考　・「児童・生徒」には、高校生を含む。</w:t>
      </w:r>
    </w:p>
    <w:p>
      <w:pPr>
        <w:pStyle w:val="Normal"/>
        <w:rPr/>
      </w:pPr>
      <w:r>
        <w:rPr/>
        <w:t>　　　・「専用利用」とは、全面を独占的に利用する場合をいう。</w:t>
      </w:r>
    </w:p>
    <w:p>
      <w:pPr>
        <w:pStyle w:val="Normal"/>
        <w:rPr/>
      </w:pPr>
      <w:r>
        <w:rPr/>
        <w:t xml:space="preserve">  </w:t>
      </w:r>
      <w:r>
        <w:rPr/>
        <w:t>　　・ 利用時間には、準備、利用後の整理及び原状回復に要する時間を含むものとする。</w:t>
      </w:r>
    </w:p>
    <w:p>
      <w:pPr>
        <w:pStyle w:val="Normal"/>
        <w:rPr/>
      </w:pPr>
      <w:r>
        <w:rPr/>
        <w:t xml:space="preserve">　　　・「バレーボール」は女子用コートとし、男子用コートを使用する場合は、バスケット　　　　　　ボールの使用料を適用する。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768" w:header="0" w:top="1418" w:footer="0" w:bottom="1418" w:gutter="0"/>
      <w:pgNumType w:fmt="decimal"/>
      <w:formProt w:val="false"/>
      <w:textDirection w:val="lrTb"/>
      <w:docGrid w:type="linesAndChars" w:linePitch="34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3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cs="ＭＳ 明朝" w:eastAsia="ＭＳ 明朝"/>
      <w:color w:val="000000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cs="ＭＳ 明朝"/>
      <w:color w:val="000000"/>
      <w:sz w:val="22"/>
    </w:rPr>
  </w:style>
  <w:style w:type="character" w:styleId="Style14">
    <w:name w:val="脚注(標準)"/>
    <w:qFormat/>
    <w:rPr>
      <w:rFonts w:ascii="ＭＳ 明朝" w:hAnsi="ＭＳ 明朝" w:cs="ＭＳ 明朝"/>
      <w:color w:val="000000"/>
      <w:sz w:val="22"/>
      <w:szCs w:val="22"/>
      <w:vertAlign w:val="superscript"/>
    </w:rPr>
  </w:style>
  <w:style w:type="character" w:styleId="Style15">
    <w:name w:val="脚注ｴﾘｱ(標準)"/>
    <w:qFormat/>
    <w:rPr>
      <w:rFonts w:ascii="ＭＳ 明朝" w:hAnsi="ＭＳ 明朝" w:cs="ＭＳ 明朝"/>
      <w:color w:val="000000"/>
      <w:sz w:val="22"/>
    </w:rPr>
  </w:style>
  <w:style w:type="character" w:styleId="Style16">
    <w:name w:val="ヘッダー (文字)"/>
    <w:basedOn w:val="DefaultParagraphFont"/>
    <w:qFormat/>
    <w:rPr>
      <w:rFonts w:ascii="ＭＳ 明朝" w:hAnsi="ＭＳ 明朝" w:cs="ＭＳ 明朝"/>
      <w:color w:val="000000"/>
      <w:sz w:val="22"/>
    </w:rPr>
  </w:style>
  <w:style w:type="character" w:styleId="Style17">
    <w:name w:val="フッター (文字)"/>
    <w:basedOn w:val="DefaultParagraphFont"/>
    <w:qFormat/>
    <w:rPr>
      <w:rFonts w:ascii="ＭＳ 明朝" w:hAnsi="ＭＳ 明朝" w:cs="ＭＳ 明朝"/>
      <w:color w:val="000000"/>
      <w:sz w:val="22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DejaVu Sans" w:cs="DejaVu Sans"/>
      <w:color w:val="000000"/>
      <w:sz w:val="28"/>
      <w:szCs w:val="28"/>
    </w:rPr>
  </w:style>
  <w:style w:type="paragraph" w:styleId="TextBody">
    <w:name w:val="Body Text"/>
    <w:basedOn w:val="Normal"/>
    <w:pPr>
      <w:widowControl w:val="false"/>
      <w:suppressAutoHyphens w:val="true"/>
      <w:bidi w:val="0"/>
      <w:spacing w:lineRule="auto" w:line="288" w:before="0" w:after="140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List">
    <w:name w:val="List"/>
    <w:basedOn w:val="TextBody"/>
    <w:pPr>
      <w:widowControl w:val="false"/>
      <w:suppressAutoHyphens w:val="true"/>
      <w:bidi w:val="0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bidi w:val="0"/>
      <w:spacing w:before="120" w:after="120"/>
      <w:jc w:val="left"/>
      <w:textAlignment w:val="baseline"/>
    </w:pPr>
    <w:rPr>
      <w:rFonts w:ascii="ＭＳ 明朝" w:hAnsi="ＭＳ 明朝" w:cs="ＭＳ 明朝"/>
      <w:i/>
      <w:iCs/>
      <w:color w:val="000000"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Style18">
    <w:name w:val="一太郎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346"/>
      <w:jc w:val="left"/>
      <w:textAlignment w:val="baseline"/>
    </w:pPr>
    <w:rPr>
      <w:rFonts w:ascii="Century" w:hAnsi="Century" w:cs="ＭＳ 明朝" w:eastAsia="ＭＳ 明朝"/>
      <w:color w:val="000000"/>
      <w:sz w:val="22"/>
      <w:szCs w:val="22"/>
      <w:lang w:val="en-US" w:eastAsia="ja-JP" w:bidi="ar-SA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  <w:bidi w:val="0"/>
      <w:snapToGrid w:val="false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  <w:bidi w:val="0"/>
      <w:snapToGrid w:val="false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Plott Corporation</Application>
  <Pages>2</Pages>
  <Words>721</Words>
  <Characters>767</Characters>
  <CharactersWithSpaces>842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2016-09-07T06:30:00Z</dcterms:created>
  <dc:creator>甲斐 美利</dc:creator>
  <dc:description/>
  <dc:language>en-US</dc:language>
  <cp:lastModifiedBy>seinen_c</cp:lastModifiedBy>
  <cp:lastPrinted>2019-12-04T02:30:00Z</cp:lastPrinted>
  <dcterms:modified xsi:type="dcterms:W3CDTF">2019-12-04T02:32:00Z</dcterms:modified>
  <cp:revision>4</cp:revision>
  <dc:subject/>
  <dc:title>青年の家　要覧　原稿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